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napToGrid w:val="0"/>
        <w:spacing w:before="100" w:beforeAutospacing="1" w:after="100" w:afterAutospacing="1" w:line="540" w:lineRule="exact"/>
        <w:ind w:firstLine="723" w:firstLineChars="200"/>
        <w:jc w:val="center"/>
        <w:rPr>
          <w:rFonts w:ascii="??" w:hAnsi="??" w:eastAsia="Times New Roman" w:cs="Times New Roman"/>
          <w:b/>
          <w:bCs/>
          <w:color w:val="333333"/>
          <w:kern w:val="0"/>
          <w:sz w:val="36"/>
          <w:szCs w:val="36"/>
        </w:rPr>
      </w:pPr>
      <w:r>
        <w:rPr>
          <w:rFonts w:hint="eastAsia" w:ascii="宋体" w:hAnsi="宋体" w:cs="宋体"/>
          <w:b/>
          <w:bCs/>
          <w:color w:val="333333"/>
          <w:kern w:val="0"/>
          <w:sz w:val="36"/>
          <w:szCs w:val="36"/>
        </w:rPr>
        <w:t>安徽师范大学教育科学学院诚聘英才</w:t>
      </w:r>
    </w:p>
    <w:p>
      <w:pPr>
        <w:rPr>
          <w:rFonts w:ascii="仿宋_GB2312" w:hAnsi="仿宋_GB2312" w:eastAsia="仿宋_GB2312" w:cs="Times New Roman"/>
          <w:b/>
          <w:bCs/>
          <w:sz w:val="28"/>
          <w:szCs w:val="28"/>
        </w:rPr>
      </w:pPr>
      <w:r>
        <w:rPr>
          <w:rFonts w:ascii="仿宋_GB2312" w:hAnsi="仿宋_GB2312" w:eastAsia="仿宋_GB2312" w:cs="仿宋_GB2312"/>
          <w:sz w:val="28"/>
          <w:szCs w:val="28"/>
        </w:rPr>
        <w:t xml:space="preserve">    </w:t>
      </w:r>
      <w:r>
        <w:rPr>
          <w:rFonts w:hint="eastAsia" w:ascii="仿宋_GB2312" w:hAnsi="仿宋_GB2312" w:eastAsia="仿宋_GB2312" w:cs="仿宋_GB2312"/>
          <w:b/>
          <w:bCs/>
          <w:sz w:val="28"/>
          <w:szCs w:val="28"/>
        </w:rPr>
        <w:t>安徽师范大学教育科学学院设有本科（教育学、教育技术学、心理学、学前教育和应用心理学等</w:t>
      </w:r>
      <w:r>
        <w:rPr>
          <w:rFonts w:ascii="仿宋_GB2312" w:hAnsi="仿宋_GB2312" w:eastAsia="仿宋_GB2312" w:cs="仿宋_GB2312"/>
          <w:b/>
          <w:bCs/>
          <w:sz w:val="28"/>
          <w:szCs w:val="28"/>
        </w:rPr>
        <w:t>5</w:t>
      </w:r>
      <w:r>
        <w:rPr>
          <w:rFonts w:hint="eastAsia" w:ascii="仿宋_GB2312" w:hAnsi="仿宋_GB2312" w:eastAsia="仿宋_GB2312" w:cs="仿宋_GB2312"/>
          <w:b/>
          <w:bCs/>
          <w:sz w:val="28"/>
          <w:szCs w:val="28"/>
        </w:rPr>
        <w:t>个专业）、硕士（教育学、心理学一级学科并具有教育硕士专业学位授权）、博士（中国传统文化与教育发展、心理语言学）三个办学层次；拥有省级人文社科重点基地</w:t>
      </w:r>
      <w:r>
        <w:rPr>
          <w:rFonts w:ascii="仿宋_GB2312" w:hAnsi="仿宋_GB2312" w:eastAsia="仿宋_GB2312" w:cs="仿宋_GB2312"/>
          <w:b/>
          <w:bCs/>
          <w:sz w:val="28"/>
          <w:szCs w:val="28"/>
        </w:rPr>
        <w:t>——</w:t>
      </w:r>
      <w:r>
        <w:rPr>
          <w:rFonts w:hint="eastAsia" w:ascii="仿宋_GB2312" w:hAnsi="仿宋_GB2312" w:eastAsia="仿宋_GB2312" w:cs="仿宋_GB2312"/>
          <w:b/>
          <w:bCs/>
          <w:sz w:val="28"/>
          <w:szCs w:val="28"/>
        </w:rPr>
        <w:t>教育改革和发展研究中心，省级“</w:t>
      </w:r>
      <w:r>
        <w:rPr>
          <w:rFonts w:ascii="仿宋_GB2312" w:hAnsi="仿宋_GB2312" w:eastAsia="仿宋_GB2312" w:cs="仿宋_GB2312"/>
          <w:b/>
          <w:bCs/>
          <w:sz w:val="28"/>
          <w:szCs w:val="28"/>
        </w:rPr>
        <w:t>2011</w:t>
      </w:r>
      <w:r>
        <w:rPr>
          <w:rFonts w:hint="eastAsia" w:ascii="仿宋_GB2312" w:hAnsi="仿宋_GB2312" w:eastAsia="仿宋_GB2312" w:cs="仿宋_GB2312"/>
          <w:b/>
          <w:bCs/>
          <w:sz w:val="28"/>
          <w:szCs w:val="28"/>
        </w:rPr>
        <w:t>协同创新中心”</w:t>
      </w:r>
      <w:r>
        <w:rPr>
          <w:rFonts w:ascii="仿宋_GB2312" w:hAnsi="仿宋_GB2312" w:eastAsia="仿宋_GB2312" w:cs="仿宋_GB2312"/>
          <w:b/>
          <w:bCs/>
          <w:sz w:val="28"/>
          <w:szCs w:val="28"/>
        </w:rPr>
        <w:t>——</w:t>
      </w:r>
      <w:r>
        <w:rPr>
          <w:rFonts w:hint="eastAsia" w:ascii="仿宋_GB2312" w:hAnsi="仿宋_GB2312" w:eastAsia="仿宋_GB2312" w:cs="仿宋_GB2312"/>
          <w:b/>
          <w:bCs/>
          <w:sz w:val="28"/>
          <w:szCs w:val="28"/>
        </w:rPr>
        <w:t>教师教育协同创新中心，安徽省高校首批智库建设项目</w:t>
      </w:r>
      <w:r>
        <w:rPr>
          <w:rFonts w:ascii="仿宋_GB2312" w:hAnsi="仿宋_GB2312" w:eastAsia="仿宋_GB2312" w:cs="仿宋_GB2312"/>
          <w:b/>
          <w:bCs/>
          <w:sz w:val="28"/>
          <w:szCs w:val="28"/>
        </w:rPr>
        <w:t>——</w:t>
      </w:r>
      <w:r>
        <w:rPr>
          <w:rFonts w:hint="eastAsia" w:ascii="仿宋_GB2312" w:hAnsi="仿宋_GB2312" w:eastAsia="仿宋_GB2312" w:cs="仿宋_GB2312"/>
          <w:b/>
          <w:bCs/>
          <w:sz w:val="28"/>
          <w:szCs w:val="28"/>
        </w:rPr>
        <w:t>安徽教育发展研究中心，安徽省教育专业学位案例库和教学案例推广中心</w:t>
      </w:r>
      <w:r>
        <w:rPr>
          <w:rFonts w:ascii="仿宋_GB2312" w:hAnsi="仿宋_GB2312" w:eastAsia="仿宋_GB2312" w:cs="仿宋_GB2312"/>
          <w:b/>
          <w:bCs/>
          <w:sz w:val="28"/>
          <w:szCs w:val="28"/>
        </w:rPr>
        <w:t>1</w:t>
      </w:r>
      <w:r>
        <w:rPr>
          <w:rFonts w:hint="eastAsia" w:ascii="仿宋_GB2312" w:hAnsi="仿宋_GB2312" w:eastAsia="仿宋_GB2312" w:cs="仿宋_GB2312"/>
          <w:b/>
          <w:bCs/>
          <w:sz w:val="28"/>
          <w:szCs w:val="28"/>
        </w:rPr>
        <w:t>个，建有安徽省少先队辅导员培训和研修基地。拥有国家级精品课程和精品资源共享课程</w:t>
      </w:r>
      <w:r>
        <w:rPr>
          <w:rFonts w:ascii="仿宋_GB2312" w:hAnsi="仿宋_GB2312" w:eastAsia="仿宋_GB2312" w:cs="仿宋_GB2312"/>
          <w:b/>
          <w:bCs/>
          <w:sz w:val="28"/>
          <w:szCs w:val="28"/>
        </w:rPr>
        <w:t>6</w:t>
      </w:r>
      <w:r>
        <w:rPr>
          <w:rFonts w:hint="eastAsia" w:ascii="仿宋_GB2312" w:hAnsi="仿宋_GB2312" w:eastAsia="仿宋_GB2312" w:cs="仿宋_GB2312"/>
          <w:b/>
          <w:bCs/>
          <w:sz w:val="28"/>
          <w:szCs w:val="28"/>
        </w:rPr>
        <w:t>门。建有教育技术实验中心、心理学实验中心，实验室总面积</w:t>
      </w:r>
      <w:r>
        <w:rPr>
          <w:rFonts w:ascii="仿宋_GB2312" w:hAnsi="仿宋_GB2312" w:eastAsia="仿宋_GB2312" w:cs="仿宋_GB2312"/>
          <w:b/>
          <w:bCs/>
          <w:sz w:val="28"/>
          <w:szCs w:val="28"/>
        </w:rPr>
        <w:t>1820</w:t>
      </w:r>
      <w:r>
        <w:rPr>
          <w:rFonts w:hint="eastAsia" w:ascii="仿宋_GB2312" w:hAnsi="仿宋_GB2312" w:eastAsia="仿宋_GB2312" w:cs="仿宋_GB2312"/>
          <w:b/>
          <w:bCs/>
          <w:sz w:val="28"/>
          <w:szCs w:val="28"/>
        </w:rPr>
        <w:t>平方米，图书资料室藏书</w:t>
      </w:r>
      <w:r>
        <w:rPr>
          <w:rFonts w:ascii="仿宋_GB2312" w:hAnsi="仿宋_GB2312" w:eastAsia="仿宋_GB2312" w:cs="仿宋_GB2312"/>
          <w:b/>
          <w:bCs/>
          <w:sz w:val="28"/>
          <w:szCs w:val="28"/>
        </w:rPr>
        <w:t>16000</w:t>
      </w:r>
      <w:r>
        <w:rPr>
          <w:rFonts w:hint="eastAsia" w:ascii="仿宋_GB2312" w:hAnsi="仿宋_GB2312" w:eastAsia="仿宋_GB2312" w:cs="仿宋_GB2312"/>
          <w:b/>
          <w:bCs/>
          <w:sz w:val="28"/>
          <w:szCs w:val="28"/>
        </w:rPr>
        <w:t>余册，各类中英文杂志、报刊</w:t>
      </w:r>
      <w:r>
        <w:rPr>
          <w:rFonts w:ascii="仿宋_GB2312" w:hAnsi="仿宋_GB2312" w:eastAsia="仿宋_GB2312" w:cs="仿宋_GB2312"/>
          <w:b/>
          <w:bCs/>
          <w:sz w:val="28"/>
          <w:szCs w:val="28"/>
        </w:rPr>
        <w:t>233</w:t>
      </w:r>
      <w:r>
        <w:rPr>
          <w:rFonts w:hint="eastAsia" w:ascii="仿宋_GB2312" w:hAnsi="仿宋_GB2312" w:eastAsia="仿宋_GB2312" w:cs="仿宋_GB2312"/>
          <w:b/>
          <w:bCs/>
          <w:sz w:val="28"/>
          <w:szCs w:val="28"/>
        </w:rPr>
        <w:t>种（</w:t>
      </w:r>
      <w:r>
        <w:rPr>
          <w:rFonts w:ascii="仿宋_GB2312" w:hAnsi="仿宋_GB2312" w:eastAsia="仿宋_GB2312" w:cs="仿宋_GB2312"/>
          <w:b/>
          <w:bCs/>
          <w:sz w:val="28"/>
          <w:szCs w:val="28"/>
        </w:rPr>
        <w:t>6000</w:t>
      </w:r>
      <w:r>
        <w:rPr>
          <w:rFonts w:hint="eastAsia" w:ascii="仿宋_GB2312" w:hAnsi="仿宋_GB2312" w:eastAsia="仿宋_GB2312" w:cs="仿宋_GB2312"/>
          <w:b/>
          <w:bCs/>
          <w:sz w:val="28"/>
          <w:szCs w:val="28"/>
        </w:rPr>
        <w:t>余册）。</w:t>
      </w:r>
    </w:p>
    <w:p>
      <w:pPr>
        <w:rPr>
          <w:rFonts w:ascii="仿宋_GB2312" w:hAnsi="仿宋_GB2312" w:eastAsia="仿宋_GB2312" w:cs="Times New Roman"/>
          <w:b/>
          <w:bCs/>
          <w:sz w:val="28"/>
          <w:szCs w:val="28"/>
        </w:rPr>
      </w:pP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学院现有教职工</w:t>
      </w:r>
      <w:r>
        <w:rPr>
          <w:rFonts w:ascii="仿宋_GB2312" w:hAnsi="仿宋_GB2312" w:eastAsia="仿宋_GB2312" w:cs="仿宋_GB2312"/>
          <w:b/>
          <w:bCs/>
          <w:sz w:val="28"/>
          <w:szCs w:val="28"/>
        </w:rPr>
        <w:t>97</w:t>
      </w:r>
      <w:r>
        <w:rPr>
          <w:rFonts w:hint="eastAsia" w:ascii="仿宋_GB2312" w:hAnsi="仿宋_GB2312" w:eastAsia="仿宋_GB2312" w:cs="仿宋_GB2312"/>
          <w:b/>
          <w:bCs/>
          <w:sz w:val="28"/>
          <w:szCs w:val="28"/>
        </w:rPr>
        <w:t>人，其中教授</w:t>
      </w:r>
      <w:r>
        <w:rPr>
          <w:rFonts w:ascii="仿宋_GB2312" w:hAnsi="仿宋_GB2312" w:eastAsia="仿宋_GB2312" w:cs="仿宋_GB2312"/>
          <w:b/>
          <w:bCs/>
          <w:sz w:val="28"/>
          <w:szCs w:val="28"/>
        </w:rPr>
        <w:t>20</w:t>
      </w:r>
      <w:r>
        <w:rPr>
          <w:rFonts w:hint="eastAsia" w:ascii="仿宋_GB2312" w:hAnsi="仿宋_GB2312" w:eastAsia="仿宋_GB2312" w:cs="仿宋_GB2312"/>
          <w:b/>
          <w:bCs/>
          <w:sz w:val="28"/>
          <w:szCs w:val="28"/>
        </w:rPr>
        <w:t>人。专任教师中博士生导师</w:t>
      </w:r>
      <w:r>
        <w:rPr>
          <w:rFonts w:ascii="仿宋_GB2312" w:hAnsi="仿宋_GB2312" w:eastAsia="仿宋_GB2312" w:cs="仿宋_GB2312"/>
          <w:b/>
          <w:bCs/>
          <w:sz w:val="28"/>
          <w:szCs w:val="28"/>
        </w:rPr>
        <w:t>6</w:t>
      </w:r>
      <w:r>
        <w:rPr>
          <w:rFonts w:hint="eastAsia" w:ascii="仿宋_GB2312" w:hAnsi="仿宋_GB2312" w:eastAsia="仿宋_GB2312" w:cs="仿宋_GB2312"/>
          <w:b/>
          <w:bCs/>
          <w:sz w:val="28"/>
          <w:szCs w:val="28"/>
        </w:rPr>
        <w:t>人，硕士生导师</w:t>
      </w:r>
      <w:r>
        <w:rPr>
          <w:rFonts w:ascii="仿宋_GB2312" w:hAnsi="仿宋_GB2312" w:eastAsia="仿宋_GB2312" w:cs="仿宋_GB2312"/>
          <w:b/>
          <w:bCs/>
          <w:sz w:val="28"/>
          <w:szCs w:val="28"/>
        </w:rPr>
        <w:t>50</w:t>
      </w:r>
      <w:r>
        <w:rPr>
          <w:rFonts w:hint="eastAsia" w:ascii="仿宋_GB2312" w:hAnsi="仿宋_GB2312" w:eastAsia="仿宋_GB2312" w:cs="仿宋_GB2312"/>
          <w:b/>
          <w:bCs/>
          <w:sz w:val="28"/>
          <w:szCs w:val="28"/>
        </w:rPr>
        <w:t>人。在校全日制本科学生</w:t>
      </w:r>
      <w:r>
        <w:rPr>
          <w:rFonts w:ascii="仿宋_GB2312" w:hAnsi="仿宋_GB2312" w:eastAsia="仿宋_GB2312" w:cs="仿宋_GB2312"/>
          <w:b/>
          <w:bCs/>
          <w:sz w:val="28"/>
          <w:szCs w:val="28"/>
        </w:rPr>
        <w:t>775</w:t>
      </w:r>
      <w:r>
        <w:rPr>
          <w:rFonts w:hint="eastAsia" w:ascii="仿宋_GB2312" w:hAnsi="仿宋_GB2312" w:eastAsia="仿宋_GB2312" w:cs="仿宋_GB2312"/>
          <w:b/>
          <w:bCs/>
          <w:sz w:val="28"/>
          <w:szCs w:val="28"/>
        </w:rPr>
        <w:t>人，各类研究生</w:t>
      </w:r>
      <w:r>
        <w:rPr>
          <w:rFonts w:ascii="仿宋_GB2312" w:hAnsi="仿宋_GB2312" w:eastAsia="仿宋_GB2312" w:cs="仿宋_GB2312"/>
          <w:b/>
          <w:bCs/>
          <w:sz w:val="28"/>
          <w:szCs w:val="28"/>
        </w:rPr>
        <w:t>513</w:t>
      </w:r>
      <w:r>
        <w:rPr>
          <w:rFonts w:hint="eastAsia" w:ascii="仿宋_GB2312" w:hAnsi="仿宋_GB2312" w:eastAsia="仿宋_GB2312" w:cs="仿宋_GB2312"/>
          <w:b/>
          <w:bCs/>
          <w:sz w:val="28"/>
          <w:szCs w:val="28"/>
        </w:rPr>
        <w:t>人，在籍本、专科函授学员近</w:t>
      </w:r>
      <w:r>
        <w:rPr>
          <w:rFonts w:ascii="仿宋_GB2312" w:hAnsi="仿宋_GB2312" w:eastAsia="仿宋_GB2312" w:cs="仿宋_GB2312"/>
          <w:b/>
          <w:bCs/>
          <w:sz w:val="28"/>
          <w:szCs w:val="28"/>
        </w:rPr>
        <w:t>5000</w:t>
      </w:r>
      <w:r>
        <w:rPr>
          <w:rFonts w:hint="eastAsia" w:ascii="仿宋_GB2312" w:hAnsi="仿宋_GB2312" w:eastAsia="仿宋_GB2312" w:cs="仿宋_GB2312"/>
          <w:b/>
          <w:bCs/>
          <w:sz w:val="28"/>
          <w:szCs w:val="28"/>
        </w:rPr>
        <w:t>人。</w:t>
      </w:r>
    </w:p>
    <w:p>
      <w:pPr>
        <w:rPr>
          <w:rFonts w:ascii="仿宋_GB2312" w:hAnsi="仿宋_GB2312" w:eastAsia="仿宋_GB2312" w:cs="Times New Roman"/>
          <w:b/>
          <w:bCs/>
          <w:sz w:val="28"/>
          <w:szCs w:val="28"/>
        </w:rPr>
      </w:pPr>
      <w:r>
        <w:rPr>
          <w:rFonts w:hint="eastAsia" w:ascii="仿宋_GB2312" w:hAnsi="仿宋_GB2312" w:eastAsia="仿宋_GB2312" w:cs="仿宋_GB2312"/>
          <w:b/>
          <w:bCs/>
          <w:sz w:val="28"/>
          <w:szCs w:val="28"/>
          <w:lang w:val="en-US" w:eastAsia="zh-CN"/>
        </w:rPr>
        <w:t xml:space="preserve">   </w:t>
      </w:r>
      <w:bookmarkStart w:id="0" w:name="_GoBack"/>
      <w:bookmarkEnd w:id="0"/>
      <w:r>
        <w:rPr>
          <w:rFonts w:hint="eastAsia" w:ascii="仿宋_GB2312" w:hAnsi="仿宋_GB2312" w:eastAsia="仿宋_GB2312" w:cs="仿宋_GB2312"/>
          <w:b/>
          <w:bCs/>
          <w:sz w:val="28"/>
          <w:szCs w:val="28"/>
        </w:rPr>
        <w:t>学院已在教师教育政策研究、心理健康教育研究、学生发展与指导研究、学前教育研究、认知心理与教育测量评价研究、教育信息技术与媒介素养等领域，形成结构合理的学术研究团队，成为安徽省教育学科人才培养、知识创新、科学研究和社会服务的中心和龙头，是安徽省教师教育改革与发展的人才库、思想库。</w:t>
      </w:r>
    </w:p>
    <w:p>
      <w:pPr>
        <w:rPr>
          <w:rFonts w:ascii="??" w:hAnsi="??" w:eastAsia="Times New Roman" w:cs="Times New Roman"/>
          <w:b/>
          <w:bCs/>
          <w:color w:val="333333"/>
          <w:kern w:val="0"/>
          <w:sz w:val="24"/>
          <w:szCs w:val="24"/>
        </w:rPr>
      </w:pPr>
      <w:r>
        <w:rPr>
          <w:rFonts w:ascii="仿宋_GB2312" w:hAnsi="仿宋_GB2312" w:eastAsia="仿宋_GB2312" w:cs="仿宋_GB2312"/>
          <w:b/>
          <w:bCs/>
          <w:sz w:val="28"/>
          <w:szCs w:val="28"/>
        </w:rPr>
        <w:t xml:space="preserve">    </w:t>
      </w:r>
      <w:r>
        <w:rPr>
          <w:rFonts w:hint="eastAsia" w:ascii="仿宋_GB2312" w:hAnsi="仿宋_GB2312" w:eastAsia="仿宋_GB2312" w:cs="仿宋_GB2312"/>
          <w:b/>
          <w:bCs/>
          <w:sz w:val="28"/>
          <w:szCs w:val="28"/>
        </w:rPr>
        <w:t>为适应学院内涵发展的需要，现面向海内外招聘优秀人才，人才引进优惠政策依照学校规定，待遇面议。热忱欢迎您的加盟！</w:t>
      </w:r>
    </w:p>
    <w:p>
      <w:pPr>
        <w:widowControl/>
        <w:spacing w:beforeAutospacing="1" w:afterAutospacing="1" w:line="540" w:lineRule="atLeast"/>
        <w:jc w:val="center"/>
        <w:rPr>
          <w:rFonts w:cs="Times New Roman"/>
        </w:rPr>
      </w:pPr>
      <w:r>
        <w:rPr>
          <w:rFonts w:hint="eastAsia" w:ascii="宋体" w:hAnsi="宋体" w:cs="宋体"/>
          <w:b/>
          <w:bCs/>
          <w:color w:val="333333"/>
          <w:kern w:val="0"/>
          <w:sz w:val="36"/>
          <w:szCs w:val="36"/>
        </w:rPr>
        <w:t>教育科学学院</w:t>
      </w:r>
      <w:r>
        <w:rPr>
          <w:b/>
          <w:bCs/>
          <w:color w:val="333333"/>
          <w:kern w:val="0"/>
          <w:sz w:val="40"/>
          <w:szCs w:val="40"/>
        </w:rPr>
        <w:t>2016</w:t>
      </w:r>
      <w:r>
        <w:rPr>
          <w:rFonts w:hint="eastAsia" w:ascii="宋体" w:hAnsi="宋体" w:cs="宋体"/>
          <w:b/>
          <w:bCs/>
          <w:color w:val="333333"/>
          <w:kern w:val="0"/>
          <w:sz w:val="40"/>
          <w:szCs w:val="40"/>
        </w:rPr>
        <w:t>年</w:t>
      </w:r>
      <w:r>
        <w:rPr>
          <w:rFonts w:hint="eastAsia" w:ascii="宋体" w:hAnsi="宋体" w:cs="宋体"/>
          <w:b/>
          <w:bCs/>
          <w:color w:val="333333"/>
          <w:kern w:val="0"/>
          <w:sz w:val="36"/>
          <w:szCs w:val="36"/>
        </w:rPr>
        <w:t>人才需求计划</w:t>
      </w:r>
    </w:p>
    <w:tbl>
      <w:tblPr>
        <w:tblStyle w:val="4"/>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861"/>
        <w:gridCol w:w="915"/>
        <w:gridCol w:w="1305"/>
        <w:gridCol w:w="3285"/>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6" w:hRule="atLeast"/>
        </w:trPr>
        <w:tc>
          <w:tcPr>
            <w:tcW w:w="1420" w:type="dxa"/>
            <w:vAlign w:val="center"/>
          </w:tcPr>
          <w:p>
            <w:pPr>
              <w:widowControl/>
              <w:spacing w:beforeAutospacing="1" w:afterAutospacing="1"/>
              <w:jc w:val="center"/>
              <w:textAlignment w:val="center"/>
              <w:rPr>
                <w:rFonts w:cs="Times New Roman"/>
              </w:rPr>
            </w:pPr>
            <w:r>
              <w:rPr>
                <w:rFonts w:hint="eastAsia" w:ascii="宋体" w:hAnsi="宋体" w:cs="宋体"/>
                <w:b/>
                <w:bCs/>
                <w:color w:val="333333"/>
                <w:kern w:val="0"/>
                <w:sz w:val="24"/>
                <w:szCs w:val="24"/>
              </w:rPr>
              <w:t>招聘人员</w:t>
            </w:r>
          </w:p>
          <w:p>
            <w:pPr>
              <w:jc w:val="center"/>
              <w:rPr>
                <w:rFonts w:cs="Times New Roman"/>
              </w:rPr>
            </w:pPr>
            <w:r>
              <w:rPr>
                <w:rFonts w:hint="eastAsia" w:ascii="宋体" w:hAnsi="宋体" w:cs="宋体"/>
                <w:b/>
                <w:bCs/>
                <w:color w:val="333333"/>
                <w:kern w:val="0"/>
                <w:sz w:val="24"/>
                <w:szCs w:val="24"/>
              </w:rPr>
              <w:t>所属二级学科</w:t>
            </w:r>
          </w:p>
        </w:tc>
        <w:tc>
          <w:tcPr>
            <w:tcW w:w="861" w:type="dxa"/>
            <w:vAlign w:val="center"/>
          </w:tcPr>
          <w:p>
            <w:pPr>
              <w:jc w:val="center"/>
              <w:rPr>
                <w:rFonts w:cs="Times New Roman"/>
              </w:rPr>
            </w:pPr>
            <w:r>
              <w:rPr>
                <w:rFonts w:hint="eastAsia" w:ascii="宋体" w:hAnsi="宋体" w:cs="宋体"/>
                <w:b/>
                <w:bCs/>
                <w:color w:val="333333"/>
                <w:kern w:val="0"/>
                <w:sz w:val="24"/>
                <w:szCs w:val="24"/>
              </w:rPr>
              <w:t>归口本科专业</w:t>
            </w:r>
          </w:p>
        </w:tc>
        <w:tc>
          <w:tcPr>
            <w:tcW w:w="915" w:type="dxa"/>
            <w:vAlign w:val="center"/>
          </w:tcPr>
          <w:p>
            <w:pPr>
              <w:jc w:val="center"/>
              <w:rPr>
                <w:rFonts w:cs="Times New Roman"/>
              </w:rPr>
            </w:pPr>
            <w:r>
              <w:rPr>
                <w:rFonts w:hint="eastAsia" w:ascii="宋体" w:hAnsi="宋体" w:cs="宋体"/>
                <w:b/>
                <w:bCs/>
                <w:color w:val="333333"/>
                <w:kern w:val="0"/>
                <w:sz w:val="24"/>
                <w:szCs w:val="24"/>
              </w:rPr>
              <w:t>岗位类别</w:t>
            </w:r>
          </w:p>
        </w:tc>
        <w:tc>
          <w:tcPr>
            <w:tcW w:w="1305" w:type="dxa"/>
            <w:vAlign w:val="center"/>
          </w:tcPr>
          <w:p>
            <w:pPr>
              <w:jc w:val="center"/>
              <w:rPr>
                <w:rFonts w:cs="Times New Roman"/>
              </w:rPr>
            </w:pPr>
            <w:r>
              <w:rPr>
                <w:rFonts w:hint="eastAsia" w:ascii="宋体" w:hAnsi="宋体" w:cs="宋体"/>
                <w:b/>
                <w:bCs/>
                <w:color w:val="333333"/>
                <w:kern w:val="0"/>
                <w:sz w:val="24"/>
                <w:szCs w:val="24"/>
              </w:rPr>
              <w:t>授课课程或工作安排</w:t>
            </w:r>
          </w:p>
        </w:tc>
        <w:tc>
          <w:tcPr>
            <w:tcW w:w="3285" w:type="dxa"/>
            <w:vAlign w:val="center"/>
          </w:tcPr>
          <w:p>
            <w:pPr>
              <w:jc w:val="center"/>
              <w:rPr>
                <w:rFonts w:cs="Times New Roman"/>
              </w:rPr>
            </w:pPr>
            <w:r>
              <w:rPr>
                <w:rFonts w:hint="eastAsia" w:ascii="宋体" w:hAnsi="宋体" w:cs="宋体"/>
                <w:b/>
                <w:bCs/>
                <w:color w:val="333333"/>
                <w:kern w:val="0"/>
                <w:sz w:val="24"/>
                <w:szCs w:val="24"/>
              </w:rPr>
              <w:t>其他要求</w:t>
            </w:r>
          </w:p>
        </w:tc>
        <w:tc>
          <w:tcPr>
            <w:tcW w:w="736" w:type="dxa"/>
            <w:vAlign w:val="center"/>
          </w:tcPr>
          <w:p>
            <w:pPr>
              <w:jc w:val="center"/>
              <w:rPr>
                <w:rFonts w:cs="Times New Roman"/>
              </w:rPr>
            </w:pPr>
            <w:r>
              <w:rPr>
                <w:rFonts w:hint="eastAsia"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1" w:hRule="atLeast"/>
        </w:trPr>
        <w:tc>
          <w:tcPr>
            <w:tcW w:w="1420" w:type="dxa"/>
            <w:vAlign w:val="center"/>
          </w:tcPr>
          <w:p>
            <w:pPr>
              <w:jc w:val="center"/>
              <w:rPr>
                <w:rFonts w:cs="Times New Roman"/>
              </w:rPr>
            </w:pPr>
            <w:r>
              <w:rPr>
                <w:rFonts w:hint="eastAsia" w:ascii="宋体" w:hAnsi="宋体" w:cs="宋体"/>
                <w:color w:val="333333"/>
                <w:kern w:val="0"/>
                <w:sz w:val="24"/>
                <w:szCs w:val="24"/>
              </w:rPr>
              <w:t>教育经济与管理</w:t>
            </w:r>
          </w:p>
        </w:tc>
        <w:tc>
          <w:tcPr>
            <w:tcW w:w="861" w:type="dxa"/>
            <w:vAlign w:val="center"/>
          </w:tcPr>
          <w:p>
            <w:pPr>
              <w:jc w:val="center"/>
              <w:rPr>
                <w:rFonts w:cs="Times New Roman"/>
              </w:rPr>
            </w:pPr>
            <w:r>
              <w:rPr>
                <w:rFonts w:hint="eastAsia" w:ascii="楷体_GB2312" w:hAnsi="楷体_GB2312" w:eastAsia="楷体_GB2312" w:cs="楷体_GB2312"/>
                <w:sz w:val="24"/>
                <w:szCs w:val="24"/>
              </w:rPr>
              <w:t>教育学</w:t>
            </w:r>
          </w:p>
        </w:tc>
        <w:tc>
          <w:tcPr>
            <w:tcW w:w="915" w:type="dxa"/>
            <w:vAlign w:val="center"/>
          </w:tcPr>
          <w:p>
            <w:pPr>
              <w:jc w:val="center"/>
              <w:rPr>
                <w:rFonts w:cs="Times New Roman"/>
              </w:rPr>
            </w:pPr>
            <w:r>
              <w:rPr>
                <w:rFonts w:hint="eastAsia" w:ascii="楷体_GB2312" w:hAnsi="楷体_GB2312" w:eastAsia="楷体_GB2312" w:cs="楷体_GB2312"/>
                <w:sz w:val="24"/>
                <w:szCs w:val="24"/>
              </w:rPr>
              <w:t>教学</w:t>
            </w:r>
          </w:p>
        </w:tc>
        <w:tc>
          <w:tcPr>
            <w:tcW w:w="1305" w:type="dxa"/>
            <w:vAlign w:val="center"/>
          </w:tcPr>
          <w:p>
            <w:pPr>
              <w:jc w:val="center"/>
              <w:rPr>
                <w:rFonts w:cs="Times New Roman"/>
              </w:rPr>
            </w:pPr>
            <w:r>
              <w:rPr>
                <w:rFonts w:hint="eastAsia" w:ascii="宋体" w:hAnsi="宋体" w:cs="宋体"/>
                <w:color w:val="333333"/>
                <w:kern w:val="0"/>
                <w:sz w:val="24"/>
                <w:szCs w:val="24"/>
              </w:rPr>
              <w:t>《教育管理学》课程教学</w:t>
            </w:r>
          </w:p>
        </w:tc>
        <w:tc>
          <w:tcPr>
            <w:tcW w:w="3285" w:type="dxa"/>
            <w:vAlign w:val="center"/>
          </w:tcPr>
          <w:p>
            <w:pPr>
              <w:jc w:val="center"/>
              <w:rPr>
                <w:rFonts w:cs="Times New Roman"/>
              </w:rPr>
            </w:pPr>
            <w:r>
              <w:rPr>
                <w:rFonts w:ascii="宋体" w:hAnsi="宋体" w:cs="宋体"/>
                <w:color w:val="333333"/>
                <w:kern w:val="0"/>
                <w:sz w:val="24"/>
                <w:szCs w:val="24"/>
              </w:rPr>
              <w:t>1</w:t>
            </w:r>
            <w:r>
              <w:rPr>
                <w:rFonts w:hint="eastAsia" w:ascii="宋体" w:hAnsi="宋体" w:cs="宋体"/>
                <w:color w:val="333333"/>
                <w:kern w:val="0"/>
                <w:sz w:val="24"/>
                <w:szCs w:val="24"/>
              </w:rPr>
              <w:t>、引进人才满足</w:t>
            </w:r>
            <w:r>
              <w:rPr>
                <w:rFonts w:hint="eastAsia" w:ascii="宋体" w:hAnsi="宋体" w:cs="宋体"/>
                <w:b/>
                <w:bCs/>
                <w:color w:val="333333"/>
                <w:kern w:val="0"/>
                <w:sz w:val="24"/>
                <w:szCs w:val="24"/>
              </w:rPr>
              <w:t>学校高层次人才标准</w:t>
            </w:r>
            <w:r>
              <w:rPr>
                <w:rFonts w:hint="eastAsia" w:ascii="宋体" w:hAnsi="宋体" w:cs="宋体"/>
                <w:color w:val="333333"/>
                <w:kern w:val="0"/>
                <w:sz w:val="24"/>
                <w:szCs w:val="24"/>
              </w:rPr>
              <w:t>中的二类、三类或四类标准或具有海外背景的人才。</w:t>
            </w:r>
            <w:r>
              <w:rPr>
                <w:rFonts w:ascii="宋体" w:hAnsi="宋体" w:cs="宋体"/>
                <w:color w:val="333333"/>
                <w:kern w:val="0"/>
                <w:sz w:val="24"/>
                <w:szCs w:val="24"/>
              </w:rPr>
              <w:t>2</w:t>
            </w:r>
            <w:r>
              <w:rPr>
                <w:rFonts w:hint="eastAsia" w:ascii="宋体" w:hAnsi="宋体" w:cs="宋体"/>
                <w:color w:val="333333"/>
                <w:kern w:val="0"/>
                <w:sz w:val="24"/>
                <w:szCs w:val="24"/>
              </w:rPr>
              <w:t>、具有</w:t>
            </w:r>
            <w:r>
              <w:rPr>
                <w:rFonts w:hint="eastAsia" w:ascii="宋体" w:hAnsi="宋体" w:cs="宋体"/>
                <w:b/>
                <w:bCs/>
                <w:color w:val="333333"/>
                <w:kern w:val="0"/>
                <w:sz w:val="24"/>
                <w:szCs w:val="24"/>
              </w:rPr>
              <w:t>博士学</w:t>
            </w:r>
            <w:r>
              <w:rPr>
                <w:rFonts w:hint="eastAsia" w:ascii="宋体" w:hAnsi="宋体" w:cs="宋体"/>
                <w:color w:val="333333"/>
                <w:kern w:val="0"/>
                <w:sz w:val="24"/>
                <w:szCs w:val="24"/>
              </w:rPr>
              <w:t>位、副高职称年龄在</w:t>
            </w:r>
            <w:r>
              <w:rPr>
                <w:rFonts w:ascii="??" w:hAnsi="??" w:eastAsia="Times New Roman" w:cs="Times New Roman"/>
                <w:color w:val="333333"/>
                <w:kern w:val="0"/>
                <w:sz w:val="24"/>
                <w:szCs w:val="24"/>
              </w:rPr>
              <w:t>35</w:t>
            </w:r>
            <w:r>
              <w:rPr>
                <w:rFonts w:hint="eastAsia" w:ascii="宋体" w:hAnsi="宋体" w:cs="宋体"/>
                <w:color w:val="333333"/>
                <w:kern w:val="0"/>
                <w:sz w:val="24"/>
                <w:szCs w:val="24"/>
              </w:rPr>
              <w:t>岁以下，要求至少主持过国家级一般项目一项，作为第一作者发表过</w:t>
            </w:r>
            <w:r>
              <w:rPr>
                <w:rFonts w:ascii="??" w:hAnsi="??" w:eastAsia="Times New Roman" w:cs="Times New Roman"/>
                <w:color w:val="333333"/>
                <w:kern w:val="0"/>
                <w:sz w:val="24"/>
                <w:szCs w:val="24"/>
              </w:rPr>
              <w:t>5</w:t>
            </w:r>
            <w:r>
              <w:rPr>
                <w:rFonts w:hint="eastAsia" w:ascii="宋体" w:hAnsi="宋体" w:cs="宋体"/>
                <w:color w:val="333333"/>
                <w:kern w:val="0"/>
                <w:sz w:val="24"/>
                <w:szCs w:val="24"/>
              </w:rPr>
              <w:t>篇以上</w:t>
            </w:r>
            <w:r>
              <w:rPr>
                <w:rFonts w:ascii="??" w:hAnsi="??" w:eastAsia="Times New Roman" w:cs="Times New Roman"/>
                <w:color w:val="333333"/>
                <w:kern w:val="0"/>
                <w:sz w:val="24"/>
                <w:szCs w:val="24"/>
              </w:rPr>
              <w:t>CSSCI</w:t>
            </w:r>
            <w:r>
              <w:rPr>
                <w:rFonts w:hint="eastAsia" w:ascii="宋体" w:hAnsi="宋体" w:cs="宋体"/>
                <w:color w:val="333333"/>
                <w:kern w:val="0"/>
                <w:sz w:val="24"/>
                <w:szCs w:val="24"/>
              </w:rPr>
              <w:t>文章，可作为教育经济与管理方向学科骨干。</w:t>
            </w:r>
            <w:r>
              <w:rPr>
                <w:rFonts w:ascii="宋体" w:hAnsi="宋体" w:cs="宋体"/>
                <w:color w:val="333333"/>
                <w:kern w:val="0"/>
                <w:sz w:val="24"/>
                <w:szCs w:val="24"/>
              </w:rPr>
              <w:t>3</w:t>
            </w:r>
            <w:r>
              <w:rPr>
                <w:rFonts w:hint="eastAsia" w:ascii="宋体" w:hAnsi="宋体" w:cs="宋体"/>
                <w:color w:val="333333"/>
                <w:kern w:val="0"/>
                <w:sz w:val="24"/>
                <w:szCs w:val="24"/>
              </w:rPr>
              <w:t>、正高职称年龄在</w:t>
            </w:r>
            <w:r>
              <w:rPr>
                <w:rFonts w:ascii="??" w:hAnsi="??" w:eastAsia="Times New Roman" w:cs="Times New Roman"/>
                <w:color w:val="333333"/>
                <w:kern w:val="0"/>
                <w:sz w:val="24"/>
                <w:szCs w:val="24"/>
              </w:rPr>
              <w:t>45</w:t>
            </w:r>
            <w:r>
              <w:rPr>
                <w:rFonts w:hint="eastAsia" w:ascii="宋体" w:hAnsi="宋体" w:cs="宋体"/>
                <w:color w:val="333333"/>
                <w:kern w:val="0"/>
                <w:sz w:val="24"/>
                <w:szCs w:val="24"/>
              </w:rPr>
              <w:t>岁以下，要求至少主持过两项国家社会科学基金一般项目，作为第一作者发表过</w:t>
            </w:r>
            <w:r>
              <w:rPr>
                <w:rFonts w:ascii="??" w:hAnsi="??" w:eastAsia="Times New Roman" w:cs="Times New Roman"/>
                <w:color w:val="333333"/>
                <w:kern w:val="0"/>
                <w:sz w:val="24"/>
                <w:szCs w:val="24"/>
              </w:rPr>
              <w:t>10</w:t>
            </w:r>
            <w:r>
              <w:rPr>
                <w:rFonts w:hint="eastAsia" w:ascii="宋体" w:hAnsi="宋体" w:cs="宋体"/>
                <w:color w:val="333333"/>
                <w:kern w:val="0"/>
                <w:sz w:val="24"/>
                <w:szCs w:val="24"/>
              </w:rPr>
              <w:t>篇以上</w:t>
            </w:r>
            <w:r>
              <w:rPr>
                <w:rFonts w:ascii="??" w:hAnsi="??" w:eastAsia="Times New Roman" w:cs="Times New Roman"/>
                <w:color w:val="333333"/>
                <w:kern w:val="0"/>
                <w:sz w:val="24"/>
                <w:szCs w:val="24"/>
              </w:rPr>
              <w:t>CSSCI</w:t>
            </w:r>
            <w:r>
              <w:rPr>
                <w:rFonts w:hint="eastAsia" w:ascii="宋体" w:hAnsi="宋体" w:cs="宋体"/>
                <w:color w:val="333333"/>
                <w:kern w:val="0"/>
                <w:sz w:val="24"/>
                <w:szCs w:val="24"/>
              </w:rPr>
              <w:t>文章。可作为教育经济与管理方向学科带头人。</w:t>
            </w:r>
          </w:p>
        </w:tc>
        <w:tc>
          <w:tcPr>
            <w:tcW w:w="736" w:type="dxa"/>
            <w:vAlign w:val="center"/>
          </w:tcPr>
          <w:p>
            <w:pPr>
              <w:jc w:val="center"/>
              <w:rPr>
                <w:rFonts w:cs="Times New Roman"/>
              </w:rPr>
            </w:pPr>
            <w:r>
              <w:rPr>
                <w:rFonts w:hint="eastAsia" w:ascii="楷体_GB2312" w:hAnsi="楷体_GB2312" w:eastAsia="楷体_GB2312" w:cs="楷体_GB2312"/>
                <w:sz w:val="24"/>
                <w:szCs w:val="24"/>
              </w:rPr>
              <w:t>高层次人才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jc w:val="center"/>
              <w:rPr>
                <w:rFonts w:cs="Times New Roman"/>
              </w:rPr>
            </w:pPr>
            <w:r>
              <w:rPr>
                <w:rFonts w:hint="eastAsia" w:ascii="宋体" w:hAnsi="宋体" w:cs="宋体"/>
                <w:color w:val="333333"/>
                <w:kern w:val="0"/>
                <w:sz w:val="24"/>
                <w:szCs w:val="24"/>
              </w:rPr>
              <w:t>基础心理学</w:t>
            </w:r>
          </w:p>
        </w:tc>
        <w:tc>
          <w:tcPr>
            <w:tcW w:w="861" w:type="dxa"/>
            <w:vAlign w:val="center"/>
          </w:tcPr>
          <w:p>
            <w:pPr>
              <w:jc w:val="center"/>
              <w:rPr>
                <w:rFonts w:cs="Times New Roman"/>
              </w:rPr>
            </w:pPr>
            <w:r>
              <w:rPr>
                <w:rFonts w:hint="eastAsia" w:ascii="楷体_GB2312" w:hAnsi="楷体_GB2312" w:eastAsia="楷体_GB2312" w:cs="楷体_GB2312"/>
                <w:sz w:val="24"/>
                <w:szCs w:val="24"/>
              </w:rPr>
              <w:t>心理学</w:t>
            </w:r>
          </w:p>
        </w:tc>
        <w:tc>
          <w:tcPr>
            <w:tcW w:w="915" w:type="dxa"/>
            <w:vAlign w:val="center"/>
          </w:tcPr>
          <w:p>
            <w:pPr>
              <w:jc w:val="center"/>
              <w:rPr>
                <w:rFonts w:cs="Times New Roman"/>
              </w:rPr>
            </w:pPr>
            <w:r>
              <w:rPr>
                <w:rFonts w:hint="eastAsia" w:ascii="楷体_GB2312" w:hAnsi="楷体_GB2312" w:eastAsia="楷体_GB2312" w:cs="楷体_GB2312"/>
                <w:sz w:val="24"/>
                <w:szCs w:val="24"/>
              </w:rPr>
              <w:t>教学</w:t>
            </w:r>
          </w:p>
        </w:tc>
        <w:tc>
          <w:tcPr>
            <w:tcW w:w="1305" w:type="dxa"/>
            <w:vAlign w:val="center"/>
          </w:tcPr>
          <w:p>
            <w:pPr>
              <w:jc w:val="center"/>
              <w:rPr>
                <w:rFonts w:cs="Times New Roman"/>
              </w:rPr>
            </w:pPr>
            <w:r>
              <w:rPr>
                <w:rFonts w:hint="eastAsia" w:ascii="宋体" w:hAnsi="宋体" w:cs="宋体"/>
                <w:color w:val="333333"/>
                <w:kern w:val="0"/>
                <w:sz w:val="24"/>
                <w:szCs w:val="24"/>
              </w:rPr>
              <w:t>《生理心理学》、《实验心理学》教学</w:t>
            </w:r>
          </w:p>
        </w:tc>
        <w:tc>
          <w:tcPr>
            <w:tcW w:w="3285" w:type="dxa"/>
            <w:vAlign w:val="center"/>
          </w:tcPr>
          <w:p>
            <w:pPr>
              <w:numPr>
                <w:ilvl w:val="0"/>
                <w:numId w:val="1"/>
              </w:numPr>
              <w:tabs>
                <w:tab w:val="left" w:pos="360"/>
              </w:tabs>
              <w:jc w:val="center"/>
              <w:rPr>
                <w:rFonts w:ascii="宋体" w:cs="宋体"/>
                <w:color w:val="333333"/>
                <w:kern w:val="0"/>
                <w:sz w:val="24"/>
                <w:szCs w:val="24"/>
              </w:rPr>
            </w:pPr>
            <w:r>
              <w:rPr>
                <w:rFonts w:hint="eastAsia" w:ascii="宋体" w:hAnsi="宋体" w:cs="宋体"/>
                <w:color w:val="333333"/>
                <w:kern w:val="0"/>
                <w:sz w:val="24"/>
                <w:szCs w:val="24"/>
              </w:rPr>
              <w:t>具有博士学位、副高职称年龄在</w:t>
            </w:r>
            <w:r>
              <w:rPr>
                <w:rFonts w:ascii="??" w:hAnsi="??" w:eastAsia="Times New Roman" w:cs="Times New Roman"/>
                <w:color w:val="333333"/>
                <w:kern w:val="0"/>
                <w:sz w:val="24"/>
                <w:szCs w:val="24"/>
              </w:rPr>
              <w:t>40</w:t>
            </w:r>
            <w:r>
              <w:rPr>
                <w:rFonts w:hint="eastAsia" w:ascii="宋体" w:hAnsi="宋体" w:cs="宋体"/>
                <w:color w:val="333333"/>
                <w:kern w:val="0"/>
                <w:sz w:val="24"/>
                <w:szCs w:val="24"/>
              </w:rPr>
              <w:t>岁以下；正高职称年龄在</w:t>
            </w:r>
            <w:r>
              <w:rPr>
                <w:rFonts w:ascii="??" w:hAnsi="??" w:eastAsia="Times New Roman" w:cs="Times New Roman"/>
                <w:color w:val="333333"/>
                <w:kern w:val="0"/>
                <w:sz w:val="24"/>
                <w:szCs w:val="24"/>
              </w:rPr>
              <w:t>45</w:t>
            </w:r>
            <w:r>
              <w:rPr>
                <w:rFonts w:hint="eastAsia" w:ascii="宋体" w:hAnsi="宋体" w:cs="宋体"/>
                <w:color w:val="333333"/>
                <w:kern w:val="0"/>
                <w:sz w:val="24"/>
                <w:szCs w:val="24"/>
              </w:rPr>
              <w:t>岁以下。</w:t>
            </w:r>
            <w:r>
              <w:rPr>
                <w:rFonts w:ascii="宋体" w:hAnsi="宋体" w:cs="宋体"/>
                <w:color w:val="333333"/>
                <w:kern w:val="0"/>
                <w:sz w:val="24"/>
                <w:szCs w:val="24"/>
              </w:rPr>
              <w:t>2</w:t>
            </w:r>
            <w:r>
              <w:rPr>
                <w:rFonts w:hint="eastAsia" w:ascii="宋体" w:hAnsi="宋体" w:cs="宋体"/>
                <w:color w:val="333333"/>
                <w:kern w:val="0"/>
                <w:sz w:val="24"/>
                <w:szCs w:val="24"/>
              </w:rPr>
              <w:t>、满足学校高层次人才标准中的二类、三类或四类标准或具有海外背景的人才。要求至少主持过两项国家自然科学基金面上项目或国家社会科学基金一般项目，作为第一作者或通讯作者发表过</w:t>
            </w:r>
            <w:r>
              <w:rPr>
                <w:rFonts w:ascii="??" w:hAnsi="??" w:eastAsia="Times New Roman" w:cs="Times New Roman"/>
                <w:color w:val="333333"/>
                <w:kern w:val="0"/>
                <w:sz w:val="24"/>
                <w:szCs w:val="24"/>
              </w:rPr>
              <w:t>5</w:t>
            </w:r>
            <w:r>
              <w:rPr>
                <w:rFonts w:hint="eastAsia" w:ascii="宋体" w:hAnsi="宋体" w:cs="宋体"/>
                <w:color w:val="333333"/>
                <w:kern w:val="0"/>
                <w:sz w:val="24"/>
                <w:szCs w:val="24"/>
              </w:rPr>
              <w:t>篇以上</w:t>
            </w:r>
            <w:r>
              <w:rPr>
                <w:rFonts w:ascii="??" w:hAnsi="??" w:eastAsia="Times New Roman" w:cs="Times New Roman"/>
                <w:color w:val="333333"/>
                <w:kern w:val="0"/>
                <w:sz w:val="24"/>
                <w:szCs w:val="24"/>
              </w:rPr>
              <w:t>SCI/SSCI</w:t>
            </w:r>
            <w:r>
              <w:rPr>
                <w:rFonts w:hint="eastAsia" w:ascii="宋体" w:hAnsi="宋体" w:cs="宋体"/>
                <w:color w:val="333333"/>
                <w:kern w:val="0"/>
                <w:sz w:val="24"/>
                <w:szCs w:val="24"/>
              </w:rPr>
              <w:t>文章。可作为基础心理学方向学科带头人，研究领域为认知神经科学方向。</w:t>
            </w:r>
          </w:p>
        </w:tc>
        <w:tc>
          <w:tcPr>
            <w:tcW w:w="736" w:type="dxa"/>
            <w:vAlign w:val="center"/>
          </w:tcPr>
          <w:p>
            <w:pPr>
              <w:jc w:val="center"/>
              <w:rPr>
                <w:rFonts w:cs="Times New Roman"/>
              </w:rPr>
            </w:pPr>
            <w:r>
              <w:rPr>
                <w:rFonts w:hint="eastAsia" w:ascii="楷体_GB2312" w:hAnsi="楷体_GB2312" w:eastAsia="楷体_GB2312" w:cs="楷体_GB2312"/>
                <w:sz w:val="24"/>
                <w:szCs w:val="24"/>
              </w:rPr>
              <w:t>高层次人才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jc w:val="center"/>
              <w:rPr>
                <w:rFonts w:cs="Times New Roman"/>
              </w:rPr>
            </w:pPr>
            <w:r>
              <w:rPr>
                <w:rFonts w:hint="eastAsia" w:ascii="宋体" w:hAnsi="宋体" w:cs="宋体"/>
                <w:color w:val="333333"/>
                <w:kern w:val="0"/>
                <w:sz w:val="24"/>
                <w:szCs w:val="24"/>
              </w:rPr>
              <w:t>应用心理学</w:t>
            </w:r>
          </w:p>
        </w:tc>
        <w:tc>
          <w:tcPr>
            <w:tcW w:w="861" w:type="dxa"/>
            <w:vAlign w:val="center"/>
          </w:tcPr>
          <w:p>
            <w:pPr>
              <w:jc w:val="center"/>
              <w:rPr>
                <w:rFonts w:cs="Times New Roman"/>
              </w:rPr>
            </w:pPr>
            <w:r>
              <w:rPr>
                <w:rFonts w:hint="eastAsia" w:ascii="宋体" w:hAnsi="宋体" w:cs="宋体"/>
                <w:color w:val="333333"/>
                <w:kern w:val="0"/>
                <w:sz w:val="24"/>
                <w:szCs w:val="24"/>
              </w:rPr>
              <w:t>应用心理学</w:t>
            </w:r>
          </w:p>
        </w:tc>
        <w:tc>
          <w:tcPr>
            <w:tcW w:w="915" w:type="dxa"/>
            <w:vAlign w:val="center"/>
          </w:tcPr>
          <w:p>
            <w:pPr>
              <w:jc w:val="center"/>
              <w:rPr>
                <w:rFonts w:cs="Times New Roman"/>
              </w:rPr>
            </w:pPr>
            <w:r>
              <w:rPr>
                <w:rFonts w:hint="eastAsia" w:ascii="楷体_GB2312" w:hAnsi="楷体_GB2312" w:eastAsia="楷体_GB2312" w:cs="楷体_GB2312"/>
                <w:sz w:val="24"/>
                <w:szCs w:val="24"/>
              </w:rPr>
              <w:t>教学</w:t>
            </w:r>
          </w:p>
        </w:tc>
        <w:tc>
          <w:tcPr>
            <w:tcW w:w="1305" w:type="dxa"/>
            <w:vAlign w:val="center"/>
          </w:tcPr>
          <w:p>
            <w:pPr>
              <w:jc w:val="center"/>
              <w:rPr>
                <w:rFonts w:cs="Times New Roman"/>
              </w:rPr>
            </w:pPr>
            <w:r>
              <w:rPr>
                <w:rFonts w:hint="eastAsia" w:ascii="楷体_GB2312" w:hAnsi="楷体_GB2312" w:eastAsia="楷体_GB2312" w:cs="楷体_GB2312"/>
                <w:color w:val="000000"/>
                <w:kern w:val="0"/>
                <w:sz w:val="24"/>
                <w:szCs w:val="24"/>
              </w:rPr>
              <w:t>临床心理学</w:t>
            </w:r>
          </w:p>
        </w:tc>
        <w:tc>
          <w:tcPr>
            <w:tcW w:w="3285" w:type="dxa"/>
          </w:tcPr>
          <w:p>
            <w:pPr>
              <w:rPr>
                <w:rFonts w:cs="Times New Roman"/>
              </w:rPr>
            </w:pPr>
            <w:r>
              <w:rPr>
                <w:rFonts w:ascii="楷体_GB2312" w:hAnsi="楷体_GB2312" w:eastAsia="楷体_GB2312" w:cs="楷体_GB2312"/>
                <w:color w:val="000000"/>
                <w:kern w:val="0"/>
                <w:sz w:val="24"/>
                <w:szCs w:val="24"/>
              </w:rPr>
              <w:t>35</w:t>
            </w:r>
            <w:r>
              <w:rPr>
                <w:rFonts w:hint="eastAsia" w:ascii="楷体_GB2312" w:hAnsi="楷体_GB2312" w:eastAsia="楷体_GB2312" w:cs="楷体_GB2312"/>
                <w:color w:val="000000"/>
                <w:kern w:val="0"/>
                <w:sz w:val="24"/>
                <w:szCs w:val="24"/>
              </w:rPr>
              <w:t>周岁以下临床心理学方向博士，本科、硕士、博士均为心理学专业。</w:t>
            </w:r>
          </w:p>
        </w:tc>
        <w:tc>
          <w:tcPr>
            <w:tcW w:w="736" w:type="dxa"/>
            <w:vAlign w:val="center"/>
          </w:tcPr>
          <w:p>
            <w:pPr>
              <w:jc w:val="center"/>
              <w:rPr>
                <w:rFonts w:cs="Times New Roman"/>
              </w:rPr>
            </w:pPr>
            <w:r>
              <w:rPr>
                <w:rFonts w:hint="eastAsia" w:ascii="楷体_GB2312" w:hAnsi="楷体_GB2312" w:eastAsia="楷体_GB2312" w:cs="楷体_GB2312"/>
                <w:sz w:val="24"/>
                <w:szCs w:val="24"/>
              </w:rPr>
              <w:t>重点支持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0" w:type="dxa"/>
            <w:vAlign w:val="center"/>
          </w:tcPr>
          <w:p>
            <w:pPr>
              <w:jc w:val="center"/>
              <w:rPr>
                <w:rFonts w:cs="Times New Roman"/>
              </w:rPr>
            </w:pPr>
            <w:r>
              <w:rPr>
                <w:rFonts w:hint="eastAsia" w:ascii="楷体_GB2312" w:hAnsi="楷体_GB2312" w:eastAsia="楷体_GB2312" w:cs="楷体_GB2312"/>
                <w:color w:val="333333"/>
                <w:kern w:val="0"/>
                <w:sz w:val="24"/>
                <w:szCs w:val="24"/>
              </w:rPr>
              <w:t>学前教育学</w:t>
            </w:r>
          </w:p>
        </w:tc>
        <w:tc>
          <w:tcPr>
            <w:tcW w:w="861" w:type="dxa"/>
            <w:vAlign w:val="center"/>
          </w:tcPr>
          <w:p>
            <w:pPr>
              <w:jc w:val="center"/>
              <w:rPr>
                <w:rFonts w:ascii="宋体" w:cs="Times New Roman"/>
              </w:rPr>
            </w:pPr>
            <w:r>
              <w:rPr>
                <w:rFonts w:hint="eastAsia" w:ascii="楷体_GB2312" w:hAnsi="楷体_GB2312" w:eastAsia="楷体_GB2312" w:cs="楷体_GB2312"/>
                <w:color w:val="333333"/>
                <w:kern w:val="0"/>
              </w:rPr>
              <w:t>学前教育学</w:t>
            </w:r>
          </w:p>
        </w:tc>
        <w:tc>
          <w:tcPr>
            <w:tcW w:w="915" w:type="dxa"/>
            <w:vAlign w:val="center"/>
          </w:tcPr>
          <w:p>
            <w:pPr>
              <w:jc w:val="center"/>
              <w:rPr>
                <w:rFonts w:cs="Times New Roman"/>
              </w:rPr>
            </w:pPr>
            <w:r>
              <w:rPr>
                <w:rFonts w:hint="eastAsia" w:ascii="楷体_GB2312" w:hAnsi="楷体_GB2312" w:eastAsia="楷体_GB2312" w:cs="楷体_GB2312"/>
                <w:sz w:val="24"/>
                <w:szCs w:val="24"/>
              </w:rPr>
              <w:t>教学</w:t>
            </w:r>
          </w:p>
        </w:tc>
        <w:tc>
          <w:tcPr>
            <w:tcW w:w="1305" w:type="dxa"/>
          </w:tcPr>
          <w:p>
            <w:pPr>
              <w:rPr>
                <w:rFonts w:cs="Times New Roman"/>
              </w:rPr>
            </w:pPr>
            <w:r>
              <w:rPr>
                <w:rFonts w:hint="eastAsia" w:ascii="楷体_GB2312" w:hAnsi="楷体_GB2312" w:eastAsia="楷体_GB2312" w:cs="楷体_GB2312"/>
                <w:color w:val="000000"/>
                <w:kern w:val="0"/>
                <w:sz w:val="24"/>
                <w:szCs w:val="24"/>
              </w:rPr>
              <w:t>幼儿园教学活动设计与实施、学前儿童美术教育</w:t>
            </w:r>
          </w:p>
        </w:tc>
        <w:tc>
          <w:tcPr>
            <w:tcW w:w="3285" w:type="dxa"/>
            <w:vAlign w:val="center"/>
          </w:tcPr>
          <w:p>
            <w:pPr>
              <w:jc w:val="center"/>
              <w:rPr>
                <w:rFonts w:ascii="楷体_GB2312" w:hAnsi="楷体_GB2312" w:eastAsia="楷体_GB2312" w:cs="Times New Roman"/>
              </w:rPr>
            </w:pPr>
            <w:r>
              <w:rPr>
                <w:rFonts w:hint="eastAsia" w:ascii="楷体_GB2312" w:hAnsi="楷体_GB2312" w:eastAsia="楷体_GB2312" w:cs="楷体_GB2312"/>
                <w:color w:val="000000"/>
                <w:kern w:val="0"/>
                <w:sz w:val="24"/>
                <w:szCs w:val="24"/>
              </w:rPr>
              <w:t>博士要求</w:t>
            </w:r>
            <w:r>
              <w:rPr>
                <w:rFonts w:ascii="楷体_GB2312" w:hAnsi="楷体_GB2312" w:eastAsia="楷体_GB2312" w:cs="楷体_GB2312"/>
                <w:color w:val="000000"/>
                <w:kern w:val="0"/>
                <w:sz w:val="24"/>
                <w:szCs w:val="24"/>
              </w:rPr>
              <w:t>35</w:t>
            </w:r>
            <w:r>
              <w:rPr>
                <w:rFonts w:hint="eastAsia" w:ascii="楷体_GB2312" w:hAnsi="楷体_GB2312" w:eastAsia="楷体_GB2312" w:cs="楷体_GB2312"/>
                <w:color w:val="000000"/>
                <w:kern w:val="0"/>
                <w:sz w:val="24"/>
                <w:szCs w:val="24"/>
              </w:rPr>
              <w:t>周岁以下</w:t>
            </w:r>
          </w:p>
        </w:tc>
        <w:tc>
          <w:tcPr>
            <w:tcW w:w="736" w:type="dxa"/>
            <w:vAlign w:val="center"/>
          </w:tcPr>
          <w:p>
            <w:pPr>
              <w:jc w:val="center"/>
              <w:rPr>
                <w:rFonts w:cs="Times New Roman"/>
              </w:rPr>
            </w:pPr>
          </w:p>
        </w:tc>
      </w:tr>
    </w:tbl>
    <w:p>
      <w:pPr>
        <w:widowControl/>
        <w:spacing w:before="156" w:after="100" w:afterAutospacing="1" w:line="440" w:lineRule="atLeast"/>
        <w:jc w:val="left"/>
        <w:rPr>
          <w:rFonts w:cs="Times New Roman"/>
        </w:rPr>
      </w:pPr>
      <w:r>
        <w:rPr>
          <w:rFonts w:hint="eastAsia" w:ascii="宋体" w:hAnsi="宋体" w:cs="宋体"/>
          <w:b/>
          <w:bCs/>
          <w:color w:val="333333"/>
          <w:kern w:val="0"/>
          <w:sz w:val="24"/>
          <w:szCs w:val="24"/>
        </w:rPr>
        <w:t>联系方式：</w:t>
      </w:r>
    </w:p>
    <w:p>
      <w:pPr>
        <w:widowControl/>
        <w:spacing w:before="100" w:beforeAutospacing="1" w:after="100" w:afterAutospacing="1" w:line="440" w:lineRule="atLeast"/>
        <w:ind w:left="945" w:hanging="360"/>
        <w:jc w:val="left"/>
        <w:rPr>
          <w:rFonts w:cs="Times New Roman"/>
        </w:rPr>
      </w:pPr>
      <w:r>
        <w:rPr>
          <w:color w:val="333333"/>
          <w:kern w:val="0"/>
          <w:sz w:val="24"/>
          <w:szCs w:val="24"/>
        </w:rPr>
        <w:t>1</w:t>
      </w:r>
      <w:r>
        <w:rPr>
          <w:rFonts w:hint="eastAsia" w:ascii="宋体" w:hAnsi="宋体" w:cs="宋体"/>
          <w:color w:val="333333"/>
          <w:kern w:val="0"/>
          <w:sz w:val="24"/>
          <w:szCs w:val="24"/>
        </w:rPr>
        <w:t>、电话：</w:t>
      </w:r>
      <w:r>
        <w:rPr>
          <w:color w:val="333333"/>
          <w:kern w:val="0"/>
          <w:sz w:val="24"/>
          <w:szCs w:val="24"/>
        </w:rPr>
        <w:t>0553</w:t>
      </w:r>
      <w:r>
        <w:rPr>
          <w:rFonts w:hint="eastAsia" w:ascii="宋体" w:hAnsi="宋体" w:cs="宋体"/>
          <w:color w:val="333333"/>
          <w:kern w:val="0"/>
          <w:sz w:val="24"/>
          <w:szCs w:val="24"/>
        </w:rPr>
        <w:t>－</w:t>
      </w:r>
      <w:r>
        <w:rPr>
          <w:color w:val="333333"/>
          <w:kern w:val="0"/>
          <w:sz w:val="24"/>
          <w:szCs w:val="24"/>
        </w:rPr>
        <w:t>3869296</w:t>
      </w:r>
      <w:r>
        <w:rPr>
          <w:rFonts w:hint="eastAsia" w:ascii="宋体" w:hAnsi="宋体" w:cs="宋体"/>
          <w:color w:val="333333"/>
          <w:kern w:val="0"/>
          <w:sz w:val="24"/>
          <w:szCs w:val="24"/>
        </w:rPr>
        <w:t>（刘晓宇，书记）；</w:t>
      </w:r>
      <w:r>
        <w:rPr>
          <w:color w:val="333333"/>
          <w:kern w:val="0"/>
          <w:sz w:val="24"/>
          <w:szCs w:val="24"/>
        </w:rPr>
        <w:t>Email</w:t>
      </w:r>
      <w:r>
        <w:rPr>
          <w:rFonts w:hint="eastAsia" w:ascii="宋体" w:hAnsi="宋体" w:cs="宋体"/>
          <w:color w:val="333333"/>
          <w:kern w:val="0"/>
          <w:sz w:val="24"/>
          <w:szCs w:val="24"/>
        </w:rPr>
        <w:t>：</w:t>
      </w:r>
      <w:r>
        <w:fldChar w:fldCharType="begin"/>
      </w:r>
      <w:r>
        <w:instrText xml:space="preserve"> HYPERLINK "mailto:cxqasd@mail.ahnu.edu.cn.com" </w:instrText>
      </w:r>
      <w:r>
        <w:fldChar w:fldCharType="separate"/>
      </w:r>
      <w:r>
        <w:rPr>
          <w:rStyle w:val="3"/>
        </w:rPr>
        <w:t>whlxy888@126.com</w:t>
      </w:r>
      <w:r>
        <w:rPr>
          <w:rStyle w:val="3"/>
        </w:rPr>
        <w:fldChar w:fldCharType="end"/>
      </w:r>
    </w:p>
    <w:p>
      <w:pPr>
        <w:widowControl/>
        <w:spacing w:before="100" w:beforeAutospacing="1" w:after="100" w:afterAutospacing="1" w:line="440" w:lineRule="atLeast"/>
        <w:ind w:left="945" w:hanging="360"/>
        <w:jc w:val="left"/>
        <w:rPr>
          <w:rFonts w:cs="Times New Roman"/>
        </w:rPr>
      </w:pPr>
      <w:r>
        <w:rPr>
          <w:color w:val="333333"/>
          <w:kern w:val="0"/>
          <w:sz w:val="24"/>
          <w:szCs w:val="24"/>
        </w:rPr>
        <w:t>2</w:t>
      </w:r>
      <w:r>
        <w:rPr>
          <w:rFonts w:hint="eastAsia" w:ascii="宋体" w:hAnsi="宋体" w:cs="宋体"/>
          <w:color w:val="333333"/>
          <w:kern w:val="0"/>
          <w:sz w:val="24"/>
          <w:szCs w:val="24"/>
        </w:rPr>
        <w:t>、电话：</w:t>
      </w:r>
      <w:r>
        <w:rPr>
          <w:color w:val="333333"/>
          <w:kern w:val="0"/>
          <w:sz w:val="24"/>
          <w:szCs w:val="24"/>
        </w:rPr>
        <w:t>0553</w:t>
      </w:r>
      <w:r>
        <w:rPr>
          <w:rFonts w:hint="eastAsia" w:ascii="宋体" w:hAnsi="宋体" w:cs="宋体"/>
          <w:color w:val="333333"/>
          <w:kern w:val="0"/>
          <w:sz w:val="24"/>
          <w:szCs w:val="24"/>
        </w:rPr>
        <w:t>－</w:t>
      </w:r>
      <w:r>
        <w:rPr>
          <w:color w:val="333333"/>
          <w:kern w:val="0"/>
          <w:sz w:val="24"/>
          <w:szCs w:val="24"/>
        </w:rPr>
        <w:t>3869266</w:t>
      </w:r>
      <w:r>
        <w:rPr>
          <w:rFonts w:hint="eastAsia" w:ascii="宋体" w:hAnsi="宋体" w:cs="宋体"/>
          <w:color w:val="333333"/>
          <w:kern w:val="0"/>
          <w:sz w:val="24"/>
          <w:szCs w:val="24"/>
        </w:rPr>
        <w:t>（桑青松，院长）；</w:t>
      </w:r>
      <w:r>
        <w:rPr>
          <w:color w:val="333333"/>
          <w:kern w:val="0"/>
          <w:sz w:val="24"/>
          <w:szCs w:val="24"/>
        </w:rPr>
        <w:t>Email</w:t>
      </w:r>
      <w:r>
        <w:rPr>
          <w:rFonts w:hint="eastAsia" w:ascii="宋体" w:hAnsi="宋体" w:cs="宋体"/>
          <w:color w:val="333333"/>
          <w:kern w:val="0"/>
          <w:sz w:val="24"/>
          <w:szCs w:val="24"/>
        </w:rPr>
        <w:t>：</w:t>
      </w:r>
      <w:r>
        <w:rPr>
          <w:color w:val="333333"/>
          <w:kern w:val="0"/>
          <w:sz w:val="24"/>
          <w:szCs w:val="24"/>
        </w:rPr>
        <w:t>s7210qs1@mail.ahnu.edu.cn</w:t>
      </w:r>
    </w:p>
    <w:p>
      <w:pPr>
        <w:widowControl/>
        <w:spacing w:before="100" w:beforeAutospacing="1" w:after="100" w:afterAutospacing="1" w:line="440" w:lineRule="atLeast"/>
        <w:ind w:left="945" w:hanging="360"/>
        <w:jc w:val="left"/>
        <w:rPr>
          <w:rFonts w:cs="Times New Roman"/>
        </w:rPr>
      </w:pPr>
      <w:r>
        <w:rPr>
          <w:color w:val="333333"/>
          <w:kern w:val="0"/>
          <w:sz w:val="24"/>
          <w:szCs w:val="24"/>
        </w:rPr>
        <w:t>3</w:t>
      </w:r>
      <w:r>
        <w:rPr>
          <w:rFonts w:hint="eastAsia" w:ascii="宋体" w:hAnsi="宋体" w:cs="宋体"/>
          <w:color w:val="333333"/>
          <w:kern w:val="0"/>
          <w:sz w:val="24"/>
          <w:szCs w:val="24"/>
        </w:rPr>
        <w:t>、电话：</w:t>
      </w:r>
      <w:r>
        <w:rPr>
          <w:color w:val="333333"/>
          <w:kern w:val="0"/>
          <w:sz w:val="24"/>
          <w:szCs w:val="24"/>
        </w:rPr>
        <w:t>0553</w:t>
      </w:r>
      <w:r>
        <w:rPr>
          <w:rFonts w:hint="eastAsia" w:ascii="宋体" w:hAnsi="宋体" w:cs="宋体"/>
          <w:color w:val="333333"/>
          <w:kern w:val="0"/>
          <w:sz w:val="24"/>
          <w:szCs w:val="24"/>
        </w:rPr>
        <w:t>－</w:t>
      </w:r>
      <w:r>
        <w:rPr>
          <w:color w:val="333333"/>
          <w:kern w:val="0"/>
          <w:sz w:val="24"/>
          <w:szCs w:val="24"/>
        </w:rPr>
        <w:t>3869265</w:t>
      </w:r>
      <w:r>
        <w:rPr>
          <w:rFonts w:hint="eastAsia" w:ascii="宋体" w:hAnsi="宋体" w:cs="宋体"/>
          <w:color w:val="333333"/>
          <w:kern w:val="0"/>
          <w:sz w:val="24"/>
          <w:szCs w:val="24"/>
        </w:rPr>
        <w:t>（卞纲要，人事秘书）；</w:t>
      </w:r>
      <w:r>
        <w:rPr>
          <w:color w:val="333333"/>
          <w:kern w:val="0"/>
          <w:sz w:val="24"/>
          <w:szCs w:val="24"/>
        </w:rPr>
        <w:t>Email</w:t>
      </w:r>
      <w:r>
        <w:rPr>
          <w:rFonts w:hint="eastAsia" w:ascii="宋体" w:hAnsi="宋体" w:cs="宋体"/>
          <w:color w:val="333333"/>
          <w:kern w:val="0"/>
          <w:sz w:val="24"/>
          <w:szCs w:val="24"/>
        </w:rPr>
        <w:t>：</w:t>
      </w:r>
      <w:r>
        <w:rPr>
          <w:color w:val="333333"/>
          <w:kern w:val="0"/>
          <w:sz w:val="24"/>
          <w:szCs w:val="24"/>
        </w:rPr>
        <w:t>biangy@mail.ahnu.edu.cn</w:t>
      </w:r>
    </w:p>
    <w:p>
      <w:pPr>
        <w:rPr>
          <w:rFonts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1188601">
    <w:nsid w:val="584924F9"/>
    <w:multiLevelType w:val="multilevel"/>
    <w:tmpl w:val="584924F9"/>
    <w:lvl w:ilvl="0" w:tentative="1">
      <w:start w:val="1"/>
      <w:numFmt w:val="decimal"/>
      <w:lvlText w:val="%1、"/>
      <w:lvlJc w:val="left"/>
      <w:pPr>
        <w:tabs>
          <w:tab w:val="left" w:pos="360"/>
        </w:tabs>
        <w:ind w:left="360" w:hanging="36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4811886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0CE7FC8"/>
    <w:rsid w:val="0001262B"/>
    <w:rsid w:val="001F40B7"/>
    <w:rsid w:val="00261F62"/>
    <w:rsid w:val="003E7889"/>
    <w:rsid w:val="0098081C"/>
    <w:rsid w:val="00A87F34"/>
    <w:rsid w:val="1CD875F8"/>
    <w:rsid w:val="20CE7FC8"/>
    <w:rsid w:val="5C317D1F"/>
    <w:rsid w:val="6FB675D7"/>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2">
    <w:name w:val="Default Paragraph Font"/>
    <w:semiHidden/>
    <w:uiPriority w:val="99"/>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uiPriority w:val="99"/>
    <w:rPr>
      <w:color w:val="auto"/>
      <w:sz w:val="18"/>
      <w:szCs w:val="18"/>
      <w:u w:val="none"/>
    </w:rPr>
  </w:style>
  <w:style w:type="table" w:styleId="5">
    <w:name w:val="Table Grid"/>
    <w:basedOn w:val="4"/>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3</Pages>
  <Words>217</Words>
  <Characters>1237</Characters>
  <Lines>0</Lines>
  <Paragraphs>0</Paragraphs>
  <TotalTime>0</TotalTime>
  <ScaleCrop>false</ScaleCrop>
  <LinksUpToDate>false</LinksUpToDate>
  <CharactersWithSpaces>0</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2016-03-04T09:12:00Z</dcterms:created>
  <dc:creator>Administrator</dc:creator>
  <cp:lastModifiedBy>Administrator</cp:lastModifiedBy>
  <dcterms:modified xsi:type="dcterms:W3CDTF">2016-03-07T05:06:41Z</dcterms:modified>
  <dc:title>安徽师范大学教育科学学院诚聘英才</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